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F5385" w14:textId="77777777" w:rsidR="00442E1B" w:rsidRDefault="00B15428" w:rsidP="00630CCB">
      <w:pPr>
        <w:rPr>
          <w:b/>
        </w:rPr>
      </w:pPr>
      <w:r>
        <w:rPr>
          <w:rFonts w:hint="eastAsia"/>
          <w:b/>
        </w:rPr>
        <w:t>按以下要求</w:t>
      </w:r>
      <w:r w:rsidR="00442E1B">
        <w:rPr>
          <w:rFonts w:hint="eastAsia"/>
          <w:b/>
        </w:rPr>
        <w:t>撰写摘要：</w:t>
      </w:r>
    </w:p>
    <w:p w14:paraId="0F53E44B" w14:textId="77777777" w:rsidR="00630CCB" w:rsidRPr="00707CDD" w:rsidRDefault="00707CDD" w:rsidP="00707CDD">
      <w:pPr>
        <w:rPr>
          <w:b/>
        </w:rPr>
      </w:pPr>
      <w:r w:rsidRPr="00707CDD">
        <w:rPr>
          <w:rFonts w:hint="eastAsia"/>
          <w:b/>
        </w:rPr>
        <w:t>1.</w:t>
      </w:r>
      <w:r>
        <w:rPr>
          <w:rFonts w:hint="eastAsia"/>
          <w:b/>
        </w:rPr>
        <w:t xml:space="preserve"> </w:t>
      </w:r>
      <w:r w:rsidR="00630CCB" w:rsidRPr="00707CDD">
        <w:rPr>
          <w:rFonts w:hint="eastAsia"/>
          <w:b/>
        </w:rPr>
        <w:t>中文</w:t>
      </w:r>
      <w:r w:rsidR="006A2429" w:rsidRPr="00707CDD">
        <w:rPr>
          <w:rFonts w:hint="eastAsia"/>
          <w:b/>
        </w:rPr>
        <w:t>至少</w:t>
      </w:r>
      <w:r w:rsidR="006A2429" w:rsidRPr="00707CDD">
        <w:rPr>
          <w:rFonts w:hint="eastAsia"/>
          <w:b/>
        </w:rPr>
        <w:t>50</w:t>
      </w:r>
      <w:r w:rsidR="009E4ABD" w:rsidRPr="00707CDD">
        <w:rPr>
          <w:rFonts w:hint="eastAsia"/>
          <w:b/>
        </w:rPr>
        <w:t>0</w:t>
      </w:r>
      <w:r w:rsidR="00630CCB" w:rsidRPr="00707CDD">
        <w:rPr>
          <w:rFonts w:hint="eastAsia"/>
          <w:b/>
        </w:rPr>
        <w:t>字</w:t>
      </w:r>
      <w:r w:rsidR="0053591C" w:rsidRPr="00707CDD">
        <w:rPr>
          <w:rFonts w:hint="eastAsia"/>
          <w:b/>
        </w:rPr>
        <w:t>。</w:t>
      </w:r>
    </w:p>
    <w:p w14:paraId="2069D5F5" w14:textId="77777777" w:rsidR="0053591C" w:rsidRPr="00707CDD" w:rsidRDefault="00707CDD" w:rsidP="00707CDD">
      <w:pPr>
        <w:rPr>
          <w:b/>
        </w:rPr>
      </w:pPr>
      <w:r>
        <w:rPr>
          <w:rFonts w:hint="eastAsia"/>
          <w:b/>
        </w:rPr>
        <w:t xml:space="preserve">2. </w:t>
      </w:r>
      <w:r w:rsidR="0053591C" w:rsidRPr="00707CDD">
        <w:rPr>
          <w:rFonts w:hint="eastAsia"/>
          <w:b/>
        </w:rPr>
        <w:t>中英文摘要层次清晰，同样的内容不要反复出现。</w:t>
      </w:r>
    </w:p>
    <w:p w14:paraId="1741E123" w14:textId="77777777" w:rsidR="00FF641F" w:rsidRPr="00707CDD" w:rsidRDefault="00707CDD" w:rsidP="00707CDD">
      <w:pPr>
        <w:rPr>
          <w:b/>
        </w:rPr>
      </w:pPr>
      <w:r>
        <w:rPr>
          <w:rFonts w:hint="eastAsia"/>
          <w:b/>
        </w:rPr>
        <w:t xml:space="preserve">3. </w:t>
      </w:r>
      <w:r w:rsidR="00FE661E" w:rsidRPr="00707CDD">
        <w:rPr>
          <w:rFonts w:hint="eastAsia"/>
          <w:b/>
        </w:rPr>
        <w:t>非综述性文章</w:t>
      </w:r>
      <w:r w:rsidR="005204DA" w:rsidRPr="00707CDD">
        <w:rPr>
          <w:rFonts w:hint="eastAsia"/>
          <w:b/>
        </w:rPr>
        <w:t>摘要请按照</w:t>
      </w:r>
      <w:r w:rsidR="005204DA" w:rsidRPr="00707CDD">
        <w:rPr>
          <w:rFonts w:hint="eastAsia"/>
          <w:b/>
          <w:color w:val="FF0000"/>
          <w:u w:val="single"/>
        </w:rPr>
        <w:t>目的、方法、结果、结论</w:t>
      </w:r>
      <w:r w:rsidR="005204DA" w:rsidRPr="00707CDD">
        <w:rPr>
          <w:rFonts w:hint="eastAsia"/>
          <w:b/>
        </w:rPr>
        <w:t>的顺序撰写，</w:t>
      </w:r>
      <w:r w:rsidR="00FF641F" w:rsidRPr="00720641">
        <w:rPr>
          <w:rFonts w:hint="eastAsia"/>
          <w:b/>
          <w:color w:val="FF0000"/>
          <w:u w:val="single"/>
        </w:rPr>
        <w:t>各自成段</w:t>
      </w:r>
      <w:r w:rsidR="00FF641F" w:rsidRPr="00707CDD">
        <w:rPr>
          <w:rFonts w:hint="eastAsia"/>
          <w:b/>
        </w:rPr>
        <w:t>。</w:t>
      </w:r>
    </w:p>
    <w:p w14:paraId="5566B9FB" w14:textId="77777777" w:rsidR="00FF641F" w:rsidRDefault="005204DA" w:rsidP="00FF641F">
      <w:pPr>
        <w:pStyle w:val="a3"/>
        <w:ind w:left="360" w:firstLineChars="0" w:firstLine="0"/>
        <w:rPr>
          <w:b/>
        </w:rPr>
      </w:pPr>
      <w:r w:rsidRPr="005204DA">
        <w:rPr>
          <w:rFonts w:hint="eastAsia"/>
          <w:b/>
        </w:rPr>
        <w:t>目的：要明确写出所要解决的具体问题或者研究的目的；</w:t>
      </w:r>
    </w:p>
    <w:p w14:paraId="60F9A9D9" w14:textId="77777777" w:rsidR="00FF641F" w:rsidRDefault="005204DA" w:rsidP="00FF641F">
      <w:pPr>
        <w:pStyle w:val="a3"/>
        <w:ind w:left="360" w:firstLineChars="0" w:firstLine="0"/>
        <w:rPr>
          <w:b/>
        </w:rPr>
      </w:pPr>
      <w:r w:rsidRPr="005204DA">
        <w:rPr>
          <w:rFonts w:hint="eastAsia"/>
          <w:b/>
        </w:rPr>
        <w:t>方法：应包含采用</w:t>
      </w:r>
      <w:r w:rsidR="0053591C">
        <w:rPr>
          <w:rFonts w:hint="eastAsia"/>
          <w:b/>
        </w:rPr>
        <w:t>的</w:t>
      </w:r>
      <w:r w:rsidRPr="005204DA">
        <w:rPr>
          <w:rFonts w:hint="eastAsia"/>
          <w:b/>
        </w:rPr>
        <w:t>理论</w:t>
      </w:r>
      <w:r w:rsidR="0053591C">
        <w:rPr>
          <w:rFonts w:hint="eastAsia"/>
          <w:b/>
        </w:rPr>
        <w:t>、</w:t>
      </w:r>
      <w:r w:rsidRPr="005204DA">
        <w:rPr>
          <w:rFonts w:hint="eastAsia"/>
          <w:b/>
        </w:rPr>
        <w:t>实验方法、统计方法</w:t>
      </w:r>
      <w:r w:rsidR="0053591C">
        <w:rPr>
          <w:rFonts w:hint="eastAsia"/>
          <w:b/>
        </w:rPr>
        <w:t>等</w:t>
      </w:r>
      <w:r>
        <w:rPr>
          <w:rFonts w:hint="eastAsia"/>
          <w:b/>
        </w:rPr>
        <w:t>，</w:t>
      </w:r>
      <w:r w:rsidRPr="005204DA">
        <w:rPr>
          <w:rFonts w:hint="eastAsia"/>
          <w:b/>
        </w:rPr>
        <w:t>不应包含数据结果；</w:t>
      </w:r>
    </w:p>
    <w:p w14:paraId="64F5D79A" w14:textId="77777777" w:rsidR="00FF641F" w:rsidRDefault="005204DA" w:rsidP="00FF641F">
      <w:pPr>
        <w:pStyle w:val="a3"/>
        <w:ind w:left="360" w:firstLineChars="0" w:firstLine="0"/>
        <w:rPr>
          <w:b/>
        </w:rPr>
      </w:pPr>
      <w:r w:rsidRPr="005204DA">
        <w:rPr>
          <w:rFonts w:hint="eastAsia"/>
          <w:b/>
        </w:rPr>
        <w:t>结果：应列举</w:t>
      </w:r>
      <w:r w:rsidR="0053591C">
        <w:rPr>
          <w:rFonts w:hint="eastAsia"/>
          <w:b/>
        </w:rPr>
        <w:t>测量</w:t>
      </w:r>
      <w:r w:rsidRPr="005204DA">
        <w:rPr>
          <w:rFonts w:hint="eastAsia"/>
          <w:b/>
        </w:rPr>
        <w:t>数据</w:t>
      </w:r>
      <w:r>
        <w:rPr>
          <w:rFonts w:hint="eastAsia"/>
          <w:b/>
        </w:rPr>
        <w:t>、</w:t>
      </w:r>
      <w:r w:rsidRPr="005204DA">
        <w:rPr>
          <w:rFonts w:hint="eastAsia"/>
          <w:b/>
        </w:rPr>
        <w:t>实验</w:t>
      </w:r>
      <w:r w:rsidR="0053591C">
        <w:rPr>
          <w:rFonts w:hint="eastAsia"/>
          <w:b/>
        </w:rPr>
        <w:t>数据</w:t>
      </w:r>
      <w:r>
        <w:rPr>
          <w:rFonts w:hint="eastAsia"/>
          <w:b/>
        </w:rPr>
        <w:t>等客观结果</w:t>
      </w:r>
      <w:r w:rsidRPr="005204DA">
        <w:rPr>
          <w:rFonts w:hint="eastAsia"/>
          <w:b/>
        </w:rPr>
        <w:t>，不应包含分析和推论；</w:t>
      </w:r>
    </w:p>
    <w:p w14:paraId="465D0CC1" w14:textId="77777777" w:rsidR="00630CCB" w:rsidRDefault="005204DA" w:rsidP="00FF641F">
      <w:pPr>
        <w:pStyle w:val="a3"/>
        <w:ind w:left="360" w:firstLineChars="0" w:firstLine="0"/>
        <w:rPr>
          <w:b/>
        </w:rPr>
      </w:pPr>
      <w:r w:rsidRPr="005204DA">
        <w:rPr>
          <w:rFonts w:hint="eastAsia"/>
          <w:b/>
        </w:rPr>
        <w:t>结论：由结果总结或推导或预测出的主观观点</w:t>
      </w:r>
      <w:r>
        <w:rPr>
          <w:rFonts w:hint="eastAsia"/>
          <w:b/>
        </w:rPr>
        <w:t>，</w:t>
      </w:r>
      <w:r w:rsidRPr="005204DA">
        <w:rPr>
          <w:rFonts w:hint="eastAsia"/>
          <w:b/>
        </w:rPr>
        <w:t>主要包含在结果基础上得出的结论和研究意义，不应重复目的、背景和方法。</w:t>
      </w:r>
    </w:p>
    <w:p w14:paraId="7ABF31D5" w14:textId="77777777" w:rsidR="00707CDD" w:rsidRDefault="00FE661E" w:rsidP="00707CDD">
      <w:pPr>
        <w:autoSpaceDE w:val="0"/>
        <w:autoSpaceDN w:val="0"/>
        <w:adjustRightInd w:val="0"/>
        <w:jc w:val="left"/>
        <w:rPr>
          <w:b/>
          <w:color w:val="FF0000"/>
          <w:u w:val="single"/>
        </w:rPr>
      </w:pPr>
      <w:r>
        <w:rPr>
          <w:rFonts w:hint="eastAsia"/>
          <w:b/>
        </w:rPr>
        <w:t xml:space="preserve">4. </w:t>
      </w:r>
      <w:r>
        <w:rPr>
          <w:rFonts w:hint="eastAsia"/>
          <w:b/>
        </w:rPr>
        <w:t>综述性文章摘要请按照</w:t>
      </w:r>
      <w:r w:rsidRPr="00FE661E">
        <w:rPr>
          <w:b/>
          <w:color w:val="FF0000"/>
          <w:u w:val="single"/>
        </w:rPr>
        <w:t>意义</w:t>
      </w:r>
      <w:r w:rsidRPr="00FE661E">
        <w:rPr>
          <w:rFonts w:hint="eastAsia"/>
          <w:b/>
          <w:color w:val="FF0000"/>
          <w:u w:val="single"/>
        </w:rPr>
        <w:t>（</w:t>
      </w:r>
      <w:r w:rsidRPr="00FE661E">
        <w:rPr>
          <w:b/>
          <w:color w:val="FF0000"/>
          <w:u w:val="single"/>
        </w:rPr>
        <w:t>Significance</w:t>
      </w:r>
      <w:r w:rsidRPr="00FE661E">
        <w:rPr>
          <w:rFonts w:hint="eastAsia"/>
          <w:b/>
          <w:color w:val="FF0000"/>
          <w:u w:val="single"/>
        </w:rPr>
        <w:t>）</w:t>
      </w:r>
      <w:r w:rsidRPr="00FE661E">
        <w:rPr>
          <w:rFonts w:hint="eastAsia"/>
          <w:b/>
        </w:rPr>
        <w:t>、</w:t>
      </w:r>
      <w:r w:rsidRPr="00FE661E">
        <w:rPr>
          <w:b/>
          <w:color w:val="FF0000"/>
          <w:u w:val="single"/>
        </w:rPr>
        <w:t>进展</w:t>
      </w:r>
      <w:r w:rsidRPr="00FE661E">
        <w:rPr>
          <w:rFonts w:hint="eastAsia"/>
          <w:b/>
          <w:color w:val="FF0000"/>
          <w:u w:val="single"/>
        </w:rPr>
        <w:t>（</w:t>
      </w:r>
      <w:r w:rsidRPr="00FE661E">
        <w:rPr>
          <w:b/>
          <w:color w:val="FF0000"/>
          <w:u w:val="single"/>
        </w:rPr>
        <w:t>Progress</w:t>
      </w:r>
      <w:r w:rsidRPr="00FE661E">
        <w:rPr>
          <w:rFonts w:hint="eastAsia"/>
          <w:b/>
          <w:color w:val="FF0000"/>
          <w:u w:val="single"/>
        </w:rPr>
        <w:t>）</w:t>
      </w:r>
      <w:r w:rsidRPr="00FE661E">
        <w:rPr>
          <w:rFonts w:hint="eastAsia"/>
          <w:b/>
        </w:rPr>
        <w:t>、</w:t>
      </w:r>
      <w:r w:rsidRPr="00FE661E">
        <w:rPr>
          <w:b/>
          <w:color w:val="FF0000"/>
          <w:u w:val="single"/>
        </w:rPr>
        <w:t>结论与展望</w:t>
      </w:r>
      <w:r w:rsidRPr="00FE661E">
        <w:rPr>
          <w:rFonts w:hint="eastAsia"/>
          <w:b/>
          <w:color w:val="FF0000"/>
          <w:u w:val="single"/>
        </w:rPr>
        <w:t>（</w:t>
      </w:r>
      <w:r w:rsidRPr="00FE661E">
        <w:rPr>
          <w:b/>
          <w:color w:val="FF0000"/>
          <w:u w:val="single"/>
        </w:rPr>
        <w:t>Conclusions and Prospects</w:t>
      </w:r>
      <w:r w:rsidRPr="00FE661E">
        <w:rPr>
          <w:rFonts w:hint="eastAsia"/>
          <w:b/>
          <w:color w:val="FF0000"/>
          <w:u w:val="single"/>
        </w:rPr>
        <w:t>）</w:t>
      </w:r>
    </w:p>
    <w:p w14:paraId="13E7C3E6" w14:textId="77777777" w:rsidR="00707CDD" w:rsidRDefault="00707CDD" w:rsidP="00707CDD">
      <w:pPr>
        <w:autoSpaceDE w:val="0"/>
        <w:autoSpaceDN w:val="0"/>
        <w:adjustRightInd w:val="0"/>
        <w:jc w:val="left"/>
        <w:rPr>
          <w:b/>
        </w:rPr>
      </w:pPr>
      <w:r>
        <w:rPr>
          <w:rFonts w:hint="eastAsia"/>
          <w:b/>
        </w:rPr>
        <w:t xml:space="preserve">5. </w:t>
      </w:r>
      <w:r w:rsidR="00630CCB" w:rsidRPr="00630CCB">
        <w:rPr>
          <w:rFonts w:hint="eastAsia"/>
          <w:b/>
        </w:rPr>
        <w:t>中</w:t>
      </w:r>
      <w:r w:rsidR="00FE661E">
        <w:rPr>
          <w:rFonts w:hint="eastAsia"/>
          <w:b/>
        </w:rPr>
        <w:t>英</w:t>
      </w:r>
      <w:r w:rsidR="00630CCB" w:rsidRPr="00630CCB">
        <w:rPr>
          <w:rFonts w:hint="eastAsia"/>
          <w:b/>
        </w:rPr>
        <w:t>文摘要中须明确标出</w:t>
      </w:r>
      <w:r w:rsidR="00FE661E" w:rsidRPr="00FE661E">
        <w:rPr>
          <w:rFonts w:hint="eastAsia"/>
          <w:b/>
        </w:rPr>
        <w:t>上述重点词</w:t>
      </w:r>
      <w:r w:rsidR="00630CCB" w:rsidRPr="00630CCB">
        <w:rPr>
          <w:rFonts w:hint="eastAsia"/>
          <w:b/>
        </w:rPr>
        <w:t>。</w:t>
      </w:r>
    </w:p>
    <w:p w14:paraId="3D530A6C" w14:textId="77777777" w:rsidR="0053591C" w:rsidRPr="0053591C" w:rsidRDefault="00707CDD" w:rsidP="00707CDD">
      <w:pPr>
        <w:autoSpaceDE w:val="0"/>
        <w:autoSpaceDN w:val="0"/>
        <w:adjustRightInd w:val="0"/>
        <w:jc w:val="left"/>
        <w:rPr>
          <w:b/>
        </w:rPr>
      </w:pPr>
      <w:r>
        <w:rPr>
          <w:rFonts w:hint="eastAsia"/>
          <w:b/>
        </w:rPr>
        <w:t xml:space="preserve">6. </w:t>
      </w:r>
      <w:r w:rsidR="0053591C">
        <w:rPr>
          <w:rFonts w:hint="eastAsia"/>
          <w:b/>
        </w:rPr>
        <w:t>英文摘要需采用标准科技术语，时态一致，目的部分不应采用完成式，确保名词单复数和语法正确。</w:t>
      </w:r>
    </w:p>
    <w:p w14:paraId="35C3B018" w14:textId="77777777" w:rsidR="00630CCB" w:rsidRDefault="00630CCB" w:rsidP="00630CCB">
      <w:pPr>
        <w:rPr>
          <w:b/>
        </w:rPr>
      </w:pPr>
      <w:r>
        <w:rPr>
          <w:rFonts w:hint="eastAsia"/>
          <w:b/>
        </w:rPr>
        <w:t>摘要示例：</w:t>
      </w:r>
    </w:p>
    <w:p w14:paraId="2F4760E9" w14:textId="77777777" w:rsidR="002F3EEE" w:rsidRDefault="00FE661E" w:rsidP="009A7B0F">
      <w:r>
        <w:rPr>
          <w:rFonts w:ascii="黑体" w:eastAsia="黑体" w:hAnsi="黑体" w:hint="eastAsia"/>
        </w:rPr>
        <w:t>1.非综述性文章</w:t>
      </w:r>
      <w:r w:rsidR="009A7B0F" w:rsidRPr="00154646">
        <w:rPr>
          <w:rFonts w:ascii="黑体" w:eastAsia="黑体" w:hAnsi="黑体"/>
        </w:rPr>
        <w:t>摘要</w:t>
      </w:r>
    </w:p>
    <w:p w14:paraId="605D9C77" w14:textId="77777777" w:rsidR="002F3EEE" w:rsidRDefault="009A7B0F" w:rsidP="009A7B0F">
      <w:pPr>
        <w:rPr>
          <w:rFonts w:ascii="楷体" w:eastAsia="楷体" w:hAnsi="楷体"/>
        </w:rPr>
      </w:pPr>
      <w:r w:rsidRPr="00154646">
        <w:rPr>
          <w:rFonts w:ascii="楷体" w:eastAsia="楷体" w:hAnsi="楷体"/>
          <w:b/>
          <w:color w:val="FF0000"/>
        </w:rPr>
        <w:t>目的</w:t>
      </w:r>
      <w:r w:rsidR="002F3EEE">
        <w:rPr>
          <w:rFonts w:ascii="楷体" w:eastAsia="楷体" w:hAnsi="楷体" w:hint="eastAsia"/>
          <w:b/>
          <w:color w:val="FF0000"/>
        </w:rPr>
        <w:t>：</w:t>
      </w:r>
      <w:r w:rsidRPr="00154646">
        <w:rPr>
          <w:rFonts w:ascii="楷体" w:eastAsia="楷体" w:hAnsi="楷体" w:hint="eastAsia"/>
        </w:rPr>
        <w:t>为了</w:t>
      </w:r>
      <w:r w:rsidRPr="00154646">
        <w:rPr>
          <w:rFonts w:ascii="楷体" w:eastAsia="楷体" w:hAnsi="楷体"/>
        </w:rPr>
        <w:t>探讨洼田饮水试验对急性脑卒中后吞咽障碍患者误吸筛查及吞咽障碍诊断的应用价值</w:t>
      </w:r>
      <w:r w:rsidR="002F3EEE">
        <w:rPr>
          <w:rFonts w:ascii="楷体" w:eastAsia="楷体" w:hAnsi="楷体" w:hint="eastAsia"/>
        </w:rPr>
        <w:t>，进行</w:t>
      </w:r>
      <w:r w:rsidR="002F3EEE" w:rsidRPr="00154646">
        <w:rPr>
          <w:rFonts w:ascii="楷体" w:eastAsia="楷体" w:hAnsi="楷体"/>
        </w:rPr>
        <w:t>洼田饮水试验筛查误吸和诊断吞咽障碍的可靠性</w:t>
      </w:r>
      <w:r w:rsidR="002F3EEE">
        <w:rPr>
          <w:rFonts w:ascii="楷体" w:eastAsia="楷体" w:hAnsi="楷体" w:hint="eastAsia"/>
        </w:rPr>
        <w:t>研究。</w:t>
      </w:r>
    </w:p>
    <w:p w14:paraId="02486890" w14:textId="77777777" w:rsidR="002F3EEE" w:rsidRDefault="009A7B0F" w:rsidP="009A7B0F">
      <w:pPr>
        <w:rPr>
          <w:rFonts w:ascii="楷体" w:eastAsia="楷体" w:hAnsi="楷体"/>
        </w:rPr>
      </w:pPr>
      <w:r w:rsidRPr="00154646">
        <w:rPr>
          <w:rFonts w:ascii="楷体" w:eastAsia="楷体" w:hAnsi="楷体"/>
          <w:b/>
          <w:color w:val="FF0000"/>
        </w:rPr>
        <w:t>方法</w:t>
      </w:r>
      <w:r w:rsidR="002F3EEE">
        <w:rPr>
          <w:rFonts w:ascii="楷体" w:eastAsia="楷体" w:hAnsi="楷体" w:hint="eastAsia"/>
          <w:b/>
          <w:color w:val="FF0000"/>
        </w:rPr>
        <w:t>：</w:t>
      </w:r>
      <w:r w:rsidRPr="00154646">
        <w:rPr>
          <w:rFonts w:ascii="楷体" w:eastAsia="楷体" w:hAnsi="楷体"/>
        </w:rPr>
        <w:t>选取2014年4月—2015年11月在上海市浦东新区公利医院康复医学科住院治疗的急性脑卒中患者45例，分别进行洼田饮水试验评估和吞咽造影检查(VFSS)。评估洼田饮水试验筛查误吸和诊断吞咽障碍的可靠性及两种方法的一致性，同时对比洼田饮水试验筛查误吸和诊断吞咽障碍的阳性检出率。</w:t>
      </w:r>
    </w:p>
    <w:p w14:paraId="2EDFFBEF" w14:textId="77777777" w:rsidR="002F3EEE" w:rsidRDefault="009A7B0F" w:rsidP="009A7B0F">
      <w:pPr>
        <w:rPr>
          <w:rFonts w:ascii="楷体" w:eastAsia="楷体" w:hAnsi="楷体"/>
        </w:rPr>
      </w:pPr>
      <w:r w:rsidRPr="00154646">
        <w:rPr>
          <w:rFonts w:ascii="楷体" w:eastAsia="楷体" w:hAnsi="楷体"/>
          <w:b/>
          <w:color w:val="FF0000"/>
        </w:rPr>
        <w:t>结果</w:t>
      </w:r>
      <w:r w:rsidR="002F3EEE">
        <w:rPr>
          <w:rFonts w:ascii="楷体" w:eastAsia="楷体" w:hAnsi="楷体" w:hint="eastAsia"/>
          <w:b/>
          <w:color w:val="FF0000"/>
        </w:rPr>
        <w:t>：</w:t>
      </w:r>
      <w:r w:rsidRPr="00154646">
        <w:rPr>
          <w:rFonts w:ascii="楷体" w:eastAsia="楷体" w:hAnsi="楷体"/>
        </w:rPr>
        <w:t>以VFSS为“金标准”，洼田饮水试验筛查误吸的灵敏度为43.75%，特异度为69.23%，阳性预测值为77.78%，阴性预测 值为31.03%，洼田饮水试验和</w:t>
      </w:r>
      <w:r>
        <w:rPr>
          <w:rFonts w:ascii="楷体" w:eastAsia="楷体" w:hAnsi="楷体"/>
        </w:rPr>
        <w:t>VFSS</w:t>
      </w:r>
      <w:r w:rsidRPr="00154646">
        <w:rPr>
          <w:rFonts w:ascii="楷体" w:eastAsia="楷体" w:hAnsi="楷体"/>
        </w:rPr>
        <w:t>法一致性检验的 Kappa 值为0. 098，两者不存在一致性</w:t>
      </w:r>
      <w:r>
        <w:rPr>
          <w:rFonts w:ascii="楷体" w:eastAsia="楷体" w:hAnsi="楷体"/>
        </w:rPr>
        <w:t>(</w:t>
      </w:r>
      <w:r w:rsidRPr="00154646">
        <w:rPr>
          <w:rFonts w:ascii="楷体" w:eastAsia="楷体" w:hAnsi="楷体"/>
          <w:i/>
        </w:rPr>
        <w:t>P</w:t>
      </w:r>
      <w:r>
        <w:rPr>
          <w:rFonts w:ascii="楷体" w:eastAsia="楷体" w:hAnsi="楷体"/>
        </w:rPr>
        <w:t>=0.420);</w:t>
      </w:r>
      <w:proofErr w:type="gramStart"/>
      <w:r w:rsidRPr="00154646">
        <w:rPr>
          <w:rFonts w:ascii="楷体" w:eastAsia="楷体" w:hAnsi="楷体"/>
        </w:rPr>
        <w:t>洼田</w:t>
      </w:r>
      <w:proofErr w:type="gramEnd"/>
      <w:r w:rsidRPr="00154646">
        <w:rPr>
          <w:rFonts w:ascii="楷体" w:eastAsia="楷体" w:hAnsi="楷体"/>
        </w:rPr>
        <w:t>饮水试验诊断吞咽障碍的灵敏度为97. 50%，特异度为20. 00%，阳性预测值为</w:t>
      </w:r>
      <w:r>
        <w:rPr>
          <w:rFonts w:ascii="楷体" w:eastAsia="楷体" w:hAnsi="楷体"/>
        </w:rPr>
        <w:t>90.</w:t>
      </w:r>
      <w:r w:rsidRPr="00154646">
        <w:rPr>
          <w:rFonts w:ascii="楷体" w:eastAsia="楷体" w:hAnsi="楷体"/>
        </w:rPr>
        <w:t>70%，阴性预测值为</w:t>
      </w:r>
      <w:r>
        <w:rPr>
          <w:rFonts w:ascii="楷体" w:eastAsia="楷体" w:hAnsi="楷体"/>
        </w:rPr>
        <w:t>50.</w:t>
      </w:r>
      <w:r w:rsidRPr="00154646">
        <w:rPr>
          <w:rFonts w:ascii="楷体" w:eastAsia="楷体" w:hAnsi="楷体"/>
        </w:rPr>
        <w:t>00%，两者之间的Kappa值为0.237，不存在一致性</w:t>
      </w:r>
      <w:r>
        <w:rPr>
          <w:rFonts w:ascii="楷体" w:eastAsia="楷体" w:hAnsi="楷体"/>
        </w:rPr>
        <w:t>(</w:t>
      </w:r>
      <w:r w:rsidRPr="00154646">
        <w:rPr>
          <w:rFonts w:ascii="楷体" w:eastAsia="楷体" w:hAnsi="楷体"/>
          <w:i/>
        </w:rPr>
        <w:t>P</w:t>
      </w:r>
      <w:r>
        <w:rPr>
          <w:rFonts w:ascii="楷体" w:eastAsia="楷体" w:hAnsi="楷体"/>
        </w:rPr>
        <w:t>=0.073);</w:t>
      </w:r>
      <w:proofErr w:type="gramStart"/>
      <w:r w:rsidRPr="00154646">
        <w:rPr>
          <w:rFonts w:ascii="楷体" w:eastAsia="楷体" w:hAnsi="楷体"/>
        </w:rPr>
        <w:t>洼田</w:t>
      </w:r>
      <w:proofErr w:type="gramEnd"/>
      <w:r w:rsidRPr="00154646">
        <w:rPr>
          <w:rFonts w:ascii="楷体" w:eastAsia="楷体" w:hAnsi="楷体"/>
        </w:rPr>
        <w:t>饮水试验筛查误吸的阳性检出率</w:t>
      </w:r>
      <w:r>
        <w:rPr>
          <w:rFonts w:ascii="楷体" w:eastAsia="楷体" w:hAnsi="楷体"/>
        </w:rPr>
        <w:t>(</w:t>
      </w:r>
      <w:r w:rsidRPr="00154646">
        <w:rPr>
          <w:rFonts w:ascii="楷体" w:eastAsia="楷体" w:hAnsi="楷体"/>
        </w:rPr>
        <w:t>40．00%)低于诊断吞咽障碍的阳性检出率</w:t>
      </w:r>
      <w:r>
        <w:rPr>
          <w:rFonts w:ascii="楷体" w:eastAsia="楷体" w:hAnsi="楷体"/>
        </w:rPr>
        <w:t>(95.56%)</w:t>
      </w:r>
      <w:r w:rsidRPr="00154646">
        <w:rPr>
          <w:rFonts w:ascii="楷体" w:eastAsia="楷体" w:hAnsi="楷体"/>
        </w:rPr>
        <w:t>，差异具有统计学意义</w:t>
      </w:r>
      <w:r>
        <w:rPr>
          <w:rFonts w:ascii="楷体" w:eastAsia="楷体" w:hAnsi="楷体"/>
        </w:rPr>
        <w:t>(</w:t>
      </w:r>
      <w:r w:rsidRPr="00154646">
        <w:rPr>
          <w:rFonts w:ascii="楷体" w:eastAsia="楷体" w:hAnsi="楷体"/>
          <w:i/>
        </w:rPr>
        <w:t>P</w:t>
      </w:r>
      <w:r w:rsidRPr="00154646">
        <w:rPr>
          <w:rFonts w:ascii="楷体" w:eastAsia="楷体" w:hAnsi="楷体"/>
        </w:rPr>
        <w:t>=0.</w:t>
      </w:r>
      <w:r>
        <w:rPr>
          <w:rFonts w:ascii="楷体" w:eastAsia="楷体" w:hAnsi="楷体"/>
        </w:rPr>
        <w:t>000)</w:t>
      </w:r>
      <w:r w:rsidRPr="00154646">
        <w:rPr>
          <w:rFonts w:ascii="楷体" w:eastAsia="楷体" w:hAnsi="楷体"/>
        </w:rPr>
        <w:t>。</w:t>
      </w:r>
    </w:p>
    <w:p w14:paraId="61D0CC54" w14:textId="77777777" w:rsidR="009A7B0F" w:rsidRPr="00154646" w:rsidRDefault="009A7B0F" w:rsidP="009A7B0F">
      <w:pPr>
        <w:rPr>
          <w:rFonts w:ascii="楷体" w:eastAsia="楷体" w:hAnsi="楷体"/>
        </w:rPr>
      </w:pPr>
      <w:r w:rsidRPr="00154646">
        <w:rPr>
          <w:rFonts w:ascii="楷体" w:eastAsia="楷体" w:hAnsi="楷体"/>
          <w:b/>
          <w:color w:val="FF0000"/>
        </w:rPr>
        <w:t>结论</w:t>
      </w:r>
      <w:r w:rsidR="00806F21">
        <w:rPr>
          <w:rFonts w:ascii="楷体" w:eastAsia="楷体" w:hAnsi="楷体" w:hint="eastAsia"/>
          <w:b/>
          <w:color w:val="FF0000"/>
        </w:rPr>
        <w:t xml:space="preserve"> </w:t>
      </w:r>
      <w:r w:rsidRPr="00154646">
        <w:rPr>
          <w:rFonts w:ascii="楷体" w:eastAsia="楷体" w:hAnsi="楷体"/>
        </w:rPr>
        <w:t>洼田饮水试验筛查急性脑卒中后吞咽障碍患者误吸结果可能不可靠，但诊断吞咽障碍结果较可靠。</w:t>
      </w:r>
    </w:p>
    <w:p w14:paraId="223B8E74" w14:textId="77777777" w:rsidR="009A7B0F" w:rsidRPr="00630CCB" w:rsidRDefault="009A7B0F" w:rsidP="009A7B0F"/>
    <w:p w14:paraId="61D4CD1C" w14:textId="77777777" w:rsidR="002F3EEE" w:rsidRDefault="009A7B0F" w:rsidP="009A7B0F">
      <w:r w:rsidRPr="00630CCB">
        <w:t>Abstract</w:t>
      </w:r>
      <w:r>
        <w:rPr>
          <w:rFonts w:hint="eastAsia"/>
        </w:rPr>
        <w:t>：</w:t>
      </w:r>
    </w:p>
    <w:p w14:paraId="3BCD8443" w14:textId="77777777" w:rsidR="002F3EEE" w:rsidRDefault="009A7B0F" w:rsidP="009A7B0F">
      <w:r w:rsidRPr="00630CCB">
        <w:rPr>
          <w:b/>
          <w:i/>
          <w:color w:val="FF0000"/>
        </w:rPr>
        <w:t>Objective</w:t>
      </w:r>
      <w:r w:rsidR="009718BB">
        <w:rPr>
          <w:rFonts w:hint="eastAsia"/>
          <w:b/>
          <w:i/>
          <w:color w:val="FF0000"/>
        </w:rPr>
        <w:t>s</w:t>
      </w:r>
      <w:r w:rsidR="002F3EEE">
        <w:rPr>
          <w:rFonts w:hint="eastAsia"/>
          <w:b/>
          <w:color w:val="FF0000"/>
        </w:rPr>
        <w:t>：</w:t>
      </w:r>
      <w:r w:rsidR="002F3EEE">
        <w:rPr>
          <w:rFonts w:hint="eastAsia"/>
          <w:b/>
          <w:color w:val="FF0000"/>
        </w:rPr>
        <w:t xml:space="preserve"> </w:t>
      </w:r>
      <w:r w:rsidRPr="00630CCB">
        <w:t>To explore the value of applying the water swallowing test to screening the aspiration and diagnosing dysphagia for patients with dysphagia after acute stroke</w:t>
      </w:r>
      <w:r w:rsidRPr="00630CCB">
        <w:t>．</w:t>
      </w:r>
    </w:p>
    <w:p w14:paraId="5657D70E" w14:textId="77777777" w:rsidR="002F3EEE" w:rsidRDefault="009A7B0F" w:rsidP="009A7B0F">
      <w:r w:rsidRPr="00154646">
        <w:rPr>
          <w:b/>
          <w:i/>
          <w:color w:val="FF0000"/>
        </w:rPr>
        <w:t>Methods</w:t>
      </w:r>
      <w:r w:rsidR="002F3EEE">
        <w:rPr>
          <w:rFonts w:hint="eastAsia"/>
          <w:b/>
          <w:color w:val="FF0000"/>
        </w:rPr>
        <w:t>：</w:t>
      </w:r>
      <w:r w:rsidR="002F3EEE">
        <w:rPr>
          <w:rFonts w:hint="eastAsia"/>
          <w:b/>
          <w:color w:val="FF0000"/>
        </w:rPr>
        <w:t xml:space="preserve"> </w:t>
      </w:r>
      <w:r w:rsidRPr="00630CCB">
        <w:t xml:space="preserve">Forty-five patients with acute stroke who were admitted by the </w:t>
      </w:r>
      <w:r w:rsidRPr="00630CCB">
        <w:t>Ｒ</w:t>
      </w:r>
      <w:proofErr w:type="spellStart"/>
      <w:r w:rsidRPr="00630CCB">
        <w:t>ehabilitation</w:t>
      </w:r>
      <w:proofErr w:type="spellEnd"/>
      <w:r w:rsidRPr="00630CCB">
        <w:t xml:space="preserve"> Medicine Department at the </w:t>
      </w:r>
      <w:proofErr w:type="spellStart"/>
      <w:r w:rsidRPr="00630CCB">
        <w:t>Gongli</w:t>
      </w:r>
      <w:proofErr w:type="spellEnd"/>
      <w:r w:rsidRPr="00630CCB">
        <w:t xml:space="preserve"> Hospital in Pudong New District of Shanghai from April 2014 to November 2015 were enrolled</w:t>
      </w:r>
      <w:r w:rsidRPr="00630CCB">
        <w:t>．</w:t>
      </w:r>
      <w:r w:rsidRPr="00630CCB">
        <w:t>Patients underwent the water swallowing test and video</w:t>
      </w:r>
      <w:r>
        <w:rPr>
          <w:rFonts w:hint="eastAsia"/>
        </w:rPr>
        <w:t xml:space="preserve"> </w:t>
      </w:r>
      <w:r w:rsidRPr="00630CCB">
        <w:t>fluoroscopic swallowing study(VFSS)</w:t>
      </w:r>
      <w:r w:rsidRPr="00630CCB">
        <w:t>．</w:t>
      </w:r>
      <w:r w:rsidRPr="00630CCB">
        <w:t>The reliability of the water swallowing test and the consistency between water swallowing test and VFSS for screening the aspiration and diagnosing dysphagia were evaluated</w:t>
      </w:r>
      <w:r w:rsidRPr="00630CCB">
        <w:t>．</w:t>
      </w:r>
      <w:r w:rsidRPr="00630CCB">
        <w:t xml:space="preserve"> The positive detection rates of the water swallowing test for screening aspiration and diagnosing dysphagia were compared</w:t>
      </w:r>
      <w:r w:rsidRPr="00630CCB">
        <w:t>．</w:t>
      </w:r>
    </w:p>
    <w:p w14:paraId="02E21054" w14:textId="77777777" w:rsidR="002F3EEE" w:rsidRDefault="009A7B0F" w:rsidP="009A7B0F">
      <w:r w:rsidRPr="00630CCB">
        <w:rPr>
          <w:b/>
          <w:i/>
          <w:color w:val="FF0000"/>
        </w:rPr>
        <w:t>Ｒ</w:t>
      </w:r>
      <w:proofErr w:type="spellStart"/>
      <w:r w:rsidRPr="00630CCB">
        <w:rPr>
          <w:b/>
          <w:i/>
          <w:color w:val="FF0000"/>
        </w:rPr>
        <w:t>esults</w:t>
      </w:r>
      <w:proofErr w:type="spellEnd"/>
      <w:r w:rsidR="002F3EEE">
        <w:rPr>
          <w:rFonts w:hint="eastAsia"/>
          <w:b/>
          <w:color w:val="FF0000"/>
        </w:rPr>
        <w:t>：</w:t>
      </w:r>
      <w:r w:rsidR="002F3EEE">
        <w:rPr>
          <w:rFonts w:hint="eastAsia"/>
          <w:b/>
          <w:color w:val="FF0000"/>
        </w:rPr>
        <w:t xml:space="preserve"> </w:t>
      </w:r>
      <w:r w:rsidRPr="00630CCB">
        <w:t>The sensitivity</w:t>
      </w:r>
      <w:r w:rsidRPr="00630CCB">
        <w:t>，</w:t>
      </w:r>
      <w:r w:rsidRPr="00630CCB">
        <w:t xml:space="preserve"> specificity</w:t>
      </w:r>
      <w:r w:rsidRPr="00630CCB">
        <w:t>，</w:t>
      </w:r>
      <w:r w:rsidRPr="00630CCB">
        <w:t xml:space="preserve"> positive predictive value</w:t>
      </w:r>
      <w:r w:rsidRPr="00630CCB">
        <w:t>，</w:t>
      </w:r>
      <w:r w:rsidRPr="00630CCB">
        <w:t>and negative predictive value of the water swallowing test for screening aspir</w:t>
      </w:r>
      <w:r>
        <w:t>ation against the VFSS were 43.75%</w:t>
      </w:r>
      <w:r w:rsidRPr="00630CCB">
        <w:t>，</w:t>
      </w:r>
      <w:r>
        <w:t>69.23%</w:t>
      </w:r>
      <w:r w:rsidRPr="00630CCB">
        <w:t>，</w:t>
      </w:r>
      <w:r>
        <w:t>77.</w:t>
      </w:r>
      <w:r w:rsidRPr="00630CCB">
        <w:t>78%</w:t>
      </w:r>
      <w:r w:rsidRPr="00630CCB">
        <w:t>，</w:t>
      </w:r>
      <w:r w:rsidRPr="00630CCB">
        <w:t>and 31. 03%</w:t>
      </w:r>
      <w:r w:rsidRPr="00630CCB">
        <w:t>．</w:t>
      </w:r>
      <w:r w:rsidRPr="00630CCB">
        <w:t xml:space="preserve">The Kappa value of the consistency test for water swallowing test and </w:t>
      </w:r>
      <w:r w:rsidRPr="00630CCB">
        <w:lastRenderedPageBreak/>
        <w:t>VFSS was 0.098</w:t>
      </w:r>
      <w:r w:rsidRPr="00630CCB">
        <w:t>，</w:t>
      </w:r>
      <w:r w:rsidRPr="00630CCB">
        <w:t>indicating no consistency existed(</w:t>
      </w:r>
      <w:r w:rsidRPr="00154646">
        <w:rPr>
          <w:i/>
        </w:rPr>
        <w:t>P</w:t>
      </w:r>
      <w:r w:rsidRPr="00630CCB">
        <w:t>=0.420)</w:t>
      </w:r>
      <w:r w:rsidRPr="00630CCB">
        <w:t>．</w:t>
      </w:r>
      <w:r w:rsidRPr="00630CCB">
        <w:t>The sensitivity</w:t>
      </w:r>
      <w:r w:rsidRPr="00630CCB">
        <w:t>，</w:t>
      </w:r>
      <w:r w:rsidRPr="00630CCB">
        <w:t xml:space="preserve"> specificity</w:t>
      </w:r>
      <w:r w:rsidRPr="00630CCB">
        <w:t>，</w:t>
      </w:r>
      <w:r w:rsidRPr="00630CCB">
        <w:t xml:space="preserve"> positive predictive value</w:t>
      </w:r>
      <w:r w:rsidRPr="00630CCB">
        <w:t>，</w:t>
      </w:r>
      <w:r w:rsidRPr="00630CCB">
        <w:t xml:space="preserve"> and negative predictive value of the water swallowing test for diagnosing dysphagia against the VFSS study were 97.50%</w:t>
      </w:r>
      <w:r w:rsidRPr="00630CCB">
        <w:t>，</w:t>
      </w:r>
      <w:r w:rsidRPr="00630CCB">
        <w:t>20.00%</w:t>
      </w:r>
      <w:r w:rsidRPr="00630CCB">
        <w:t>，</w:t>
      </w:r>
      <w:r w:rsidRPr="00630CCB">
        <w:t>90.70%</w:t>
      </w:r>
      <w:r w:rsidRPr="00630CCB">
        <w:t>，</w:t>
      </w:r>
      <w:r w:rsidRPr="00630CCB">
        <w:t>and 50.00%</w:t>
      </w:r>
      <w:r w:rsidRPr="00630CCB">
        <w:t>．</w:t>
      </w:r>
      <w:r w:rsidRPr="00630CCB">
        <w:t>The Kappa value of the consistency test for water swallowing test and VFSS was 0.237</w:t>
      </w:r>
      <w:r w:rsidRPr="00630CCB">
        <w:t>，</w:t>
      </w:r>
      <w:r w:rsidRPr="00630CCB">
        <w:t>indicating no consistency existed(</w:t>
      </w:r>
      <w:r w:rsidRPr="00154646">
        <w:rPr>
          <w:i/>
        </w:rPr>
        <w:t>P</w:t>
      </w:r>
      <w:r w:rsidRPr="00630CCB">
        <w:t>=0.073)</w:t>
      </w:r>
      <w:r w:rsidRPr="00630CCB">
        <w:t>．</w:t>
      </w:r>
      <w:r>
        <w:t>The positive detection rate(</w:t>
      </w:r>
      <w:r w:rsidRPr="00630CCB">
        <w:t>40</w:t>
      </w:r>
      <w:r w:rsidRPr="00630CCB">
        <w:t>．</w:t>
      </w:r>
      <w:r w:rsidRPr="00630CCB">
        <w:t>00% ) of the water swallowing test for screening aspiration was lower than that for diagnosing dysphagia(95.56%)</w:t>
      </w:r>
      <w:r>
        <w:rPr>
          <w:rFonts w:hint="eastAsia"/>
        </w:rPr>
        <w:t xml:space="preserve"> </w:t>
      </w:r>
      <w:r w:rsidRPr="00630CCB">
        <w:t>and the difference was statisti</w:t>
      </w:r>
      <w:r>
        <w:t>cally significant(</w:t>
      </w:r>
      <w:r w:rsidRPr="00154646">
        <w:rPr>
          <w:i/>
        </w:rPr>
        <w:t>P</w:t>
      </w:r>
      <w:r>
        <w:t>=0.000)</w:t>
      </w:r>
      <w:r w:rsidRPr="00630CCB">
        <w:t>．</w:t>
      </w:r>
    </w:p>
    <w:p w14:paraId="35990AA2" w14:textId="77777777" w:rsidR="00630CCB" w:rsidRDefault="009A7B0F" w:rsidP="009A7B0F">
      <w:r w:rsidRPr="00630CCB">
        <w:rPr>
          <w:b/>
          <w:i/>
          <w:color w:val="FF0000"/>
        </w:rPr>
        <w:t>Conclusion</w:t>
      </w:r>
      <w:r w:rsidR="009718BB">
        <w:rPr>
          <w:rFonts w:hint="eastAsia"/>
          <w:b/>
          <w:i/>
          <w:color w:val="FF0000"/>
        </w:rPr>
        <w:t>s</w:t>
      </w:r>
      <w:r w:rsidR="002F3EEE">
        <w:rPr>
          <w:rFonts w:hint="eastAsia"/>
          <w:b/>
          <w:i/>
          <w:color w:val="FF0000"/>
        </w:rPr>
        <w:t>：</w:t>
      </w:r>
      <w:r w:rsidR="00806F21">
        <w:rPr>
          <w:rFonts w:hint="eastAsia"/>
          <w:b/>
          <w:color w:val="FF0000"/>
        </w:rPr>
        <w:t xml:space="preserve"> </w:t>
      </w:r>
      <w:r w:rsidRPr="00630CCB">
        <w:t>The water swallowing test may be unreliable for screening the aspiration for patients with dysphagia after acute stroke</w:t>
      </w:r>
      <w:r w:rsidRPr="00630CCB">
        <w:t>，</w:t>
      </w:r>
      <w:r w:rsidRPr="00630CCB">
        <w:t>but is relatively reliable for diagnosing dysphagia</w:t>
      </w:r>
      <w:r w:rsidRPr="00630CCB">
        <w:t>．</w:t>
      </w:r>
    </w:p>
    <w:p w14:paraId="4B39B176" w14:textId="77777777" w:rsidR="00FE661E" w:rsidRDefault="00FE661E" w:rsidP="00FE661E">
      <w:pPr>
        <w:rPr>
          <w:rFonts w:ascii="黑体" w:eastAsia="黑体" w:hAnsi="黑体"/>
        </w:rPr>
      </w:pPr>
    </w:p>
    <w:p w14:paraId="7F59C6B8" w14:textId="77777777" w:rsidR="00FE661E" w:rsidRDefault="00FE661E" w:rsidP="00FE661E">
      <w:r>
        <w:rPr>
          <w:rFonts w:ascii="黑体" w:eastAsia="黑体" w:hAnsi="黑体" w:hint="eastAsia"/>
        </w:rPr>
        <w:t>2.综述性文章</w:t>
      </w:r>
      <w:r w:rsidRPr="00154646">
        <w:rPr>
          <w:rFonts w:ascii="黑体" w:eastAsia="黑体" w:hAnsi="黑体"/>
        </w:rPr>
        <w:t>摘要</w:t>
      </w:r>
      <w:r>
        <w:rPr>
          <w:rFonts w:hint="eastAsia"/>
        </w:rPr>
        <w:t>（以英文为例，中文与之保持一致即可）</w:t>
      </w:r>
    </w:p>
    <w:p w14:paraId="32296C4B" w14:textId="77777777" w:rsidR="00FE661E" w:rsidRPr="00FE661E" w:rsidRDefault="00FE661E" w:rsidP="00FE661E">
      <w:pPr>
        <w:rPr>
          <w:b/>
          <w:i/>
          <w:color w:val="FF0000"/>
        </w:rPr>
      </w:pPr>
      <w:r w:rsidRPr="00FE661E">
        <w:rPr>
          <w:b/>
          <w:i/>
          <w:color w:val="FF0000"/>
        </w:rPr>
        <w:t>Significance</w:t>
      </w:r>
    </w:p>
    <w:p w14:paraId="7A2C3F00" w14:textId="77777777" w:rsidR="00FE661E" w:rsidRDefault="00FE661E" w:rsidP="00FE661E">
      <w:r>
        <w:t>Over the past century, the quest to replicate three-dimensional visuals as they appear in the real world has driven significant innovations in display technology, with light-field displays at the forefront. These systems not only capture the complexity of light behavior in three-dimensional spaces but also allow this complexity to be presented in a manner that human eyes naturally understand, without the need for additional equipment such as glasses or headsets. This capability marks a substantial leap from traditional two-dimensional displays, setting the stage for revolution in the consumption and interaction of visual content. Light-field technology leverages various light modulation and generation techniques to create vivid life-like images. From the inception of basic light field concepts to the development of sophisticated systems that manipulate photons to mimic real-world visuals, this technology promises a transformative impact on all forms of digital displays.</w:t>
      </w:r>
    </w:p>
    <w:p w14:paraId="0E79E754" w14:textId="77777777" w:rsidR="00FE661E" w:rsidRDefault="00FE661E" w:rsidP="00FE661E"/>
    <w:p w14:paraId="75AC2C99" w14:textId="77777777" w:rsidR="00FE661E" w:rsidRPr="00FE661E" w:rsidRDefault="00FE661E" w:rsidP="00FE661E">
      <w:pPr>
        <w:rPr>
          <w:b/>
          <w:i/>
          <w:color w:val="FF0000"/>
        </w:rPr>
      </w:pPr>
      <w:r w:rsidRPr="00FE661E">
        <w:rPr>
          <w:b/>
          <w:i/>
          <w:color w:val="FF0000"/>
        </w:rPr>
        <w:t>Progress</w:t>
      </w:r>
    </w:p>
    <w:p w14:paraId="6937D46D" w14:textId="77777777" w:rsidR="00FE661E" w:rsidRDefault="00FE661E" w:rsidP="00FE661E">
      <w:r>
        <w:t xml:space="preserve">The development of light-field display technology has undergone numerous iterations and innovations that can be broadly categorized into several types of systems, each with unique mechanisms for light manipulation and display capabilities. For instance, integral imaging and lenticular displays use lens arrays to capture and reproduce light fields that allow viewers to view different parts of an image from different angles, thereby simulating a true 3D effect. This method has evolved significantly since its conceptual introduction by Gabriel Lippmann in 1908, with advancements in digital imaging and processing technologies that have enhanced its viability and effectiveness. </w:t>
      </w:r>
    </w:p>
    <w:p w14:paraId="1DDD5AB4" w14:textId="77777777" w:rsidR="00FE661E" w:rsidRDefault="00FE661E" w:rsidP="00FE661E"/>
    <w:p w14:paraId="4FED5D98" w14:textId="77777777" w:rsidR="00FE661E" w:rsidRPr="00FE661E" w:rsidRDefault="00FE661E" w:rsidP="00FE661E">
      <w:pPr>
        <w:rPr>
          <w:b/>
          <w:i/>
          <w:color w:val="FF0000"/>
        </w:rPr>
      </w:pPr>
      <w:r w:rsidRPr="00FE661E">
        <w:rPr>
          <w:b/>
          <w:i/>
          <w:color w:val="FF0000"/>
        </w:rPr>
        <w:t>Conclusions and Prospects</w:t>
      </w:r>
    </w:p>
    <w:p w14:paraId="602C5E84" w14:textId="77777777" w:rsidR="00FE661E" w:rsidRPr="00FE661E" w:rsidRDefault="00FE661E" w:rsidP="00FE661E">
      <w:r>
        <w:t>The light-field display technology has considerable potential. As these systems become more refined and less expensive to produce, their integration into consumer technology products, professional visualization tools, and public media installations is expected to increase dramatically. Ongoing research is focused on reducing the computational load required to render light-field images, improving the scalability of light-field systems for larger formats, and enhancing the interactivity of these displays. The ultimate goal is the seamless integration of high-resolution, realistic, and three-dimensional visuals into everyday life, transforming everything from cinema and television to medical imaging and education.</w:t>
      </w:r>
    </w:p>
    <w:sectPr w:rsidR="00FE661E" w:rsidRPr="00FE66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8C6C" w14:textId="77777777" w:rsidR="00DE6E1C" w:rsidRDefault="00DE6E1C" w:rsidP="003F42E4">
      <w:r>
        <w:separator/>
      </w:r>
    </w:p>
  </w:endnote>
  <w:endnote w:type="continuationSeparator" w:id="0">
    <w:p w14:paraId="634657E5" w14:textId="77777777" w:rsidR="00DE6E1C" w:rsidRDefault="00DE6E1C" w:rsidP="003F4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F3015" w14:textId="77777777" w:rsidR="00DE6E1C" w:rsidRDefault="00DE6E1C" w:rsidP="003F42E4">
      <w:r>
        <w:separator/>
      </w:r>
    </w:p>
  </w:footnote>
  <w:footnote w:type="continuationSeparator" w:id="0">
    <w:p w14:paraId="13B57B9D" w14:textId="77777777" w:rsidR="00DE6E1C" w:rsidRDefault="00DE6E1C" w:rsidP="003F42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26171"/>
    <w:multiLevelType w:val="hybridMultilevel"/>
    <w:tmpl w:val="76D43A72"/>
    <w:lvl w:ilvl="0" w:tplc="098CB4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38C3187"/>
    <w:multiLevelType w:val="hybridMultilevel"/>
    <w:tmpl w:val="825EB86A"/>
    <w:lvl w:ilvl="0" w:tplc="BD96BD04">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0CCB"/>
    <w:rsid w:val="00007B7E"/>
    <w:rsid w:val="00016613"/>
    <w:rsid w:val="0008290D"/>
    <w:rsid w:val="000A3DC2"/>
    <w:rsid w:val="000B7782"/>
    <w:rsid w:val="000D0BD0"/>
    <w:rsid w:val="00182195"/>
    <w:rsid w:val="001874BC"/>
    <w:rsid w:val="001B1D44"/>
    <w:rsid w:val="001B3067"/>
    <w:rsid w:val="001D6A89"/>
    <w:rsid w:val="001F6309"/>
    <w:rsid w:val="002132A6"/>
    <w:rsid w:val="00225EF7"/>
    <w:rsid w:val="002F3EEE"/>
    <w:rsid w:val="002F6272"/>
    <w:rsid w:val="003B7058"/>
    <w:rsid w:val="003D27C8"/>
    <w:rsid w:val="003F42E4"/>
    <w:rsid w:val="00433A5D"/>
    <w:rsid w:val="004402CF"/>
    <w:rsid w:val="00442E1B"/>
    <w:rsid w:val="005204DA"/>
    <w:rsid w:val="00530DA6"/>
    <w:rsid w:val="00534B71"/>
    <w:rsid w:val="0053586D"/>
    <w:rsid w:val="0053591C"/>
    <w:rsid w:val="00581058"/>
    <w:rsid w:val="005910C5"/>
    <w:rsid w:val="00594DAB"/>
    <w:rsid w:val="005E1979"/>
    <w:rsid w:val="00630CCB"/>
    <w:rsid w:val="00654223"/>
    <w:rsid w:val="00657E2A"/>
    <w:rsid w:val="00662611"/>
    <w:rsid w:val="0068560C"/>
    <w:rsid w:val="006A2429"/>
    <w:rsid w:val="006B08BF"/>
    <w:rsid w:val="006E4648"/>
    <w:rsid w:val="006F1660"/>
    <w:rsid w:val="00707CDD"/>
    <w:rsid w:val="00720641"/>
    <w:rsid w:val="00722E29"/>
    <w:rsid w:val="007325AD"/>
    <w:rsid w:val="007474FD"/>
    <w:rsid w:val="0078058C"/>
    <w:rsid w:val="007A3DC0"/>
    <w:rsid w:val="00806E05"/>
    <w:rsid w:val="00806F21"/>
    <w:rsid w:val="00843E3A"/>
    <w:rsid w:val="008455E4"/>
    <w:rsid w:val="00850888"/>
    <w:rsid w:val="008965CB"/>
    <w:rsid w:val="008A16F2"/>
    <w:rsid w:val="008B2683"/>
    <w:rsid w:val="0092621E"/>
    <w:rsid w:val="0093572A"/>
    <w:rsid w:val="00957575"/>
    <w:rsid w:val="009718BB"/>
    <w:rsid w:val="00981773"/>
    <w:rsid w:val="009A7B0F"/>
    <w:rsid w:val="009D5536"/>
    <w:rsid w:val="009E4ABD"/>
    <w:rsid w:val="009F27F5"/>
    <w:rsid w:val="00A835EA"/>
    <w:rsid w:val="00AE5C33"/>
    <w:rsid w:val="00B00067"/>
    <w:rsid w:val="00B11589"/>
    <w:rsid w:val="00B15428"/>
    <w:rsid w:val="00B533F0"/>
    <w:rsid w:val="00BB3AC4"/>
    <w:rsid w:val="00BB47A0"/>
    <w:rsid w:val="00BE03BC"/>
    <w:rsid w:val="00BF1778"/>
    <w:rsid w:val="00BF7388"/>
    <w:rsid w:val="00C41611"/>
    <w:rsid w:val="00C86EA0"/>
    <w:rsid w:val="00C92009"/>
    <w:rsid w:val="00D228AE"/>
    <w:rsid w:val="00D26AC1"/>
    <w:rsid w:val="00D71DDF"/>
    <w:rsid w:val="00D90D88"/>
    <w:rsid w:val="00DE6E1C"/>
    <w:rsid w:val="00E40FCF"/>
    <w:rsid w:val="00E4680B"/>
    <w:rsid w:val="00E90BD5"/>
    <w:rsid w:val="00F01F6F"/>
    <w:rsid w:val="00F0236F"/>
    <w:rsid w:val="00F66499"/>
    <w:rsid w:val="00F76A8B"/>
    <w:rsid w:val="00FB0488"/>
    <w:rsid w:val="00FC0C9E"/>
    <w:rsid w:val="00FE661E"/>
    <w:rsid w:val="00FF08CC"/>
    <w:rsid w:val="00FF6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48E9A9"/>
  <w15:docId w15:val="{28CB1392-5C5B-4A95-B8F7-14D09115A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0CCB"/>
    <w:pPr>
      <w:ind w:firstLineChars="200" w:firstLine="420"/>
    </w:pPr>
  </w:style>
  <w:style w:type="paragraph" w:styleId="a4">
    <w:name w:val="header"/>
    <w:basedOn w:val="a"/>
    <w:link w:val="a5"/>
    <w:rsid w:val="003F42E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3F42E4"/>
    <w:rPr>
      <w:kern w:val="2"/>
      <w:sz w:val="18"/>
      <w:szCs w:val="18"/>
    </w:rPr>
  </w:style>
  <w:style w:type="paragraph" w:styleId="a6">
    <w:name w:val="footer"/>
    <w:basedOn w:val="a"/>
    <w:link w:val="a7"/>
    <w:rsid w:val="003F42E4"/>
    <w:pPr>
      <w:tabs>
        <w:tab w:val="center" w:pos="4153"/>
        <w:tab w:val="right" w:pos="8306"/>
      </w:tabs>
      <w:snapToGrid w:val="0"/>
      <w:jc w:val="left"/>
    </w:pPr>
    <w:rPr>
      <w:sz w:val="18"/>
      <w:szCs w:val="18"/>
    </w:rPr>
  </w:style>
  <w:style w:type="character" w:customStyle="1" w:styleId="a7">
    <w:name w:val="页脚 字符"/>
    <w:basedOn w:val="a0"/>
    <w:link w:val="a6"/>
    <w:rsid w:val="003F42E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12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2</Pages>
  <Words>783</Words>
  <Characters>4464</Characters>
  <Application>Microsoft Office Word</Application>
  <DocSecurity>0</DocSecurity>
  <Lines>37</Lines>
  <Paragraphs>10</Paragraphs>
  <ScaleCrop>false</ScaleCrop>
  <Company>微软中国</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28</cp:revision>
  <dcterms:created xsi:type="dcterms:W3CDTF">2023-12-06T00:58:00Z</dcterms:created>
  <dcterms:modified xsi:type="dcterms:W3CDTF">2025-04-18T02:38:00Z</dcterms:modified>
</cp:coreProperties>
</file>